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A1468" w14:textId="07188C82" w:rsidR="00A4628F" w:rsidRPr="00EA13AB" w:rsidRDefault="00E53F7F" w:rsidP="00391757">
      <w:pPr>
        <w:tabs>
          <w:tab w:val="left" w:pos="800"/>
          <w:tab w:val="center" w:pos="6656"/>
        </w:tabs>
        <w:rPr>
          <w:b/>
          <w:sz w:val="32"/>
          <w:lang w:val="fr-CA"/>
        </w:rPr>
      </w:pPr>
      <w:r>
        <w:rPr>
          <w:noProof/>
        </w:rPr>
        <w:drawing>
          <wp:anchor distT="0" distB="0" distL="114300" distR="114300" simplePos="0" relativeHeight="251657728" behindDoc="1" locked="0" layoutInCell="1" allowOverlap="1" wp14:anchorId="29750DAF" wp14:editId="6C1D4689">
            <wp:simplePos x="0" y="0"/>
            <wp:positionH relativeFrom="column">
              <wp:posOffset>89535</wp:posOffset>
            </wp:positionH>
            <wp:positionV relativeFrom="paragraph">
              <wp:posOffset>-226060</wp:posOffset>
            </wp:positionV>
            <wp:extent cx="990600" cy="4953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757" w:rsidRPr="00EA13AB">
        <w:rPr>
          <w:sz w:val="32"/>
          <w:lang w:val="fr-CA"/>
        </w:rPr>
        <w:tab/>
      </w:r>
      <w:r w:rsidR="00391757" w:rsidRPr="00EA13AB">
        <w:rPr>
          <w:sz w:val="32"/>
          <w:lang w:val="fr-CA"/>
        </w:rPr>
        <w:tab/>
      </w:r>
      <w:r w:rsidR="00391757" w:rsidRPr="00EA13AB">
        <w:rPr>
          <w:b/>
          <w:sz w:val="32"/>
          <w:lang w:val="fr-CA"/>
        </w:rPr>
        <w:t>ANSI-ASC-</w:t>
      </w:r>
      <w:r w:rsidR="00704149" w:rsidRPr="00EA13AB">
        <w:rPr>
          <w:b/>
          <w:sz w:val="32"/>
          <w:lang w:val="fr-CA"/>
        </w:rPr>
        <w:t>C63</w:t>
      </w:r>
      <w:r w:rsidR="00391757" w:rsidRPr="00EA13AB">
        <w:rPr>
          <w:b/>
          <w:sz w:val="32"/>
          <w:szCs w:val="32"/>
          <w:vertAlign w:val="superscript"/>
          <w:lang w:val="fr-CA"/>
        </w:rPr>
        <w:t>®</w:t>
      </w:r>
      <w:r w:rsidR="00704149" w:rsidRPr="00EA13AB">
        <w:rPr>
          <w:b/>
          <w:sz w:val="32"/>
          <w:lang w:val="fr-CA"/>
        </w:rPr>
        <w:t xml:space="preserve"> </w:t>
      </w:r>
      <w:proofErr w:type="spellStart"/>
      <w:r w:rsidR="00A2757F" w:rsidRPr="00EA13AB">
        <w:rPr>
          <w:b/>
          <w:sz w:val="32"/>
          <w:lang w:val="fr-CA"/>
        </w:rPr>
        <w:t>Interpretation</w:t>
      </w:r>
      <w:proofErr w:type="spellEnd"/>
      <w:r w:rsidR="00A2757F" w:rsidRPr="00EA13AB">
        <w:rPr>
          <w:b/>
          <w:sz w:val="32"/>
          <w:lang w:val="fr-CA"/>
        </w:rPr>
        <w:t xml:space="preserve"> </w:t>
      </w:r>
      <w:proofErr w:type="spellStart"/>
      <w:r w:rsidR="00A2757F" w:rsidRPr="00EA13AB">
        <w:rPr>
          <w:b/>
          <w:sz w:val="32"/>
          <w:lang w:val="fr-CA"/>
        </w:rPr>
        <w:t>Request</w:t>
      </w:r>
      <w:proofErr w:type="spellEnd"/>
      <w:r w:rsidR="00A2757F" w:rsidRPr="00EA13AB">
        <w:rPr>
          <w:b/>
          <w:sz w:val="32"/>
          <w:lang w:val="fr-CA"/>
        </w:rPr>
        <w:t xml:space="preserve"> </w:t>
      </w:r>
      <w:proofErr w:type="spellStart"/>
      <w:r w:rsidR="00A2757F" w:rsidRPr="00EA13AB">
        <w:rPr>
          <w:b/>
          <w:sz w:val="32"/>
          <w:lang w:val="fr-CA"/>
        </w:rPr>
        <w:t>Form</w:t>
      </w:r>
      <w:proofErr w:type="spellEnd"/>
    </w:p>
    <w:p w14:paraId="2D8D9A39" w14:textId="77777777" w:rsidR="0045247A" w:rsidRPr="00EA13AB" w:rsidRDefault="0045247A" w:rsidP="0045247A">
      <w:pPr>
        <w:jc w:val="center"/>
        <w:rPr>
          <w:sz w:val="32"/>
          <w:lang w:val="fr-CA"/>
        </w:rPr>
      </w:pPr>
    </w:p>
    <w:p w14:paraId="2C623847" w14:textId="77777777" w:rsidR="00704149" w:rsidRPr="00EA13AB" w:rsidRDefault="00704149">
      <w:pPr>
        <w:rPr>
          <w:sz w:val="24"/>
          <w:szCs w:val="24"/>
          <w:lang w:val="fr-CA"/>
        </w:rPr>
      </w:pPr>
    </w:p>
    <w:p w14:paraId="4F15BEC7" w14:textId="77777777" w:rsidR="00704149" w:rsidRDefault="00704149" w:rsidP="00391757">
      <w:pPr>
        <w:ind w:right="-270"/>
        <w:jc w:val="both"/>
        <w:rPr>
          <w:sz w:val="24"/>
          <w:szCs w:val="24"/>
        </w:rPr>
      </w:pPr>
      <w:r>
        <w:rPr>
          <w:sz w:val="24"/>
          <w:szCs w:val="24"/>
        </w:rPr>
        <w:t>Th</w:t>
      </w:r>
      <w:r w:rsidR="00D037F4">
        <w:rPr>
          <w:sz w:val="24"/>
          <w:szCs w:val="24"/>
        </w:rPr>
        <w:t>is</w:t>
      </w:r>
      <w:r>
        <w:rPr>
          <w:sz w:val="24"/>
          <w:szCs w:val="24"/>
        </w:rPr>
        <w:t xml:space="preserve"> form shall be used for submission of </w:t>
      </w:r>
      <w:r w:rsidR="00391757">
        <w:rPr>
          <w:sz w:val="24"/>
          <w:szCs w:val="24"/>
        </w:rPr>
        <w:t>I</w:t>
      </w:r>
      <w:r>
        <w:rPr>
          <w:sz w:val="24"/>
          <w:szCs w:val="24"/>
        </w:rPr>
        <w:t xml:space="preserve">nterpretation </w:t>
      </w:r>
      <w:r w:rsidR="00391757">
        <w:rPr>
          <w:sz w:val="24"/>
          <w:szCs w:val="24"/>
        </w:rPr>
        <w:t>R</w:t>
      </w:r>
      <w:r>
        <w:rPr>
          <w:sz w:val="24"/>
          <w:szCs w:val="24"/>
        </w:rPr>
        <w:t>equests related to ANSI</w:t>
      </w:r>
      <w:r w:rsidR="00391757">
        <w:rPr>
          <w:sz w:val="24"/>
          <w:szCs w:val="24"/>
        </w:rPr>
        <w:t>-IEEE</w:t>
      </w:r>
      <w:r>
        <w:rPr>
          <w:sz w:val="24"/>
          <w:szCs w:val="24"/>
        </w:rPr>
        <w:t xml:space="preserve"> standards that are within the responsibility of ANSI</w:t>
      </w:r>
      <w:r w:rsidR="00391757">
        <w:rPr>
          <w:sz w:val="24"/>
          <w:szCs w:val="24"/>
        </w:rPr>
        <w:t>-ASC-</w:t>
      </w:r>
      <w:r>
        <w:rPr>
          <w:sz w:val="24"/>
          <w:szCs w:val="24"/>
        </w:rPr>
        <w:t>C63</w:t>
      </w:r>
      <w:r w:rsidR="00391757" w:rsidRPr="00391757">
        <w:rPr>
          <w:sz w:val="24"/>
          <w:szCs w:val="24"/>
          <w:vertAlign w:val="superscript"/>
        </w:rPr>
        <w:t>®</w:t>
      </w:r>
      <w:r>
        <w:rPr>
          <w:sz w:val="24"/>
          <w:szCs w:val="24"/>
        </w:rPr>
        <w:t xml:space="preserve">. The </w:t>
      </w:r>
      <w:r w:rsidR="00391757">
        <w:rPr>
          <w:sz w:val="24"/>
          <w:szCs w:val="24"/>
        </w:rPr>
        <w:t xml:space="preserve">eight </w:t>
      </w:r>
      <w:r>
        <w:rPr>
          <w:sz w:val="24"/>
          <w:szCs w:val="24"/>
        </w:rPr>
        <w:t xml:space="preserve">parts of the form must be filled out completely, </w:t>
      </w:r>
      <w:proofErr w:type="gramStart"/>
      <w:r>
        <w:rPr>
          <w:sz w:val="24"/>
          <w:szCs w:val="24"/>
        </w:rPr>
        <w:t>with the exception of</w:t>
      </w:r>
      <w:proofErr w:type="gramEnd"/>
      <w:r>
        <w:rPr>
          <w:sz w:val="24"/>
          <w:szCs w:val="24"/>
        </w:rPr>
        <w:t xml:space="preserve"> the </w:t>
      </w:r>
      <w:r w:rsidR="006A72B1">
        <w:rPr>
          <w:sz w:val="24"/>
          <w:szCs w:val="24"/>
        </w:rPr>
        <w:t>S</w:t>
      </w:r>
      <w:r>
        <w:rPr>
          <w:sz w:val="24"/>
          <w:szCs w:val="24"/>
        </w:rPr>
        <w:t xml:space="preserve">ubcommittee </w:t>
      </w:r>
      <w:r w:rsidR="006A72B1">
        <w:rPr>
          <w:sz w:val="24"/>
          <w:szCs w:val="24"/>
        </w:rPr>
        <w:t>R</w:t>
      </w:r>
      <w:r>
        <w:rPr>
          <w:sz w:val="24"/>
          <w:szCs w:val="24"/>
        </w:rPr>
        <w:t>esponse, to ensure expedient processing. Th</w:t>
      </w:r>
      <w:r w:rsidR="006A72B1">
        <w:rPr>
          <w:sz w:val="24"/>
          <w:szCs w:val="24"/>
        </w:rPr>
        <w:t>is</w:t>
      </w:r>
      <w:r>
        <w:rPr>
          <w:sz w:val="24"/>
          <w:szCs w:val="24"/>
        </w:rPr>
        <w:t xml:space="preserve"> completed form is to be submitted to the </w:t>
      </w:r>
      <w:hyperlink r:id="rId8" w:history="1">
        <w:r w:rsidR="00391757" w:rsidRPr="006A72B1">
          <w:rPr>
            <w:rStyle w:val="Hyperlink"/>
            <w:sz w:val="24"/>
            <w:szCs w:val="24"/>
          </w:rPr>
          <w:t>S</w:t>
        </w:r>
        <w:r w:rsidRPr="006A72B1">
          <w:rPr>
            <w:rStyle w:val="Hyperlink"/>
            <w:sz w:val="24"/>
            <w:szCs w:val="24"/>
          </w:rPr>
          <w:t>ecretary of ANSI</w:t>
        </w:r>
        <w:r w:rsidR="00391757" w:rsidRPr="006A72B1">
          <w:rPr>
            <w:rStyle w:val="Hyperlink"/>
            <w:sz w:val="24"/>
            <w:szCs w:val="24"/>
          </w:rPr>
          <w:t>-ASC-</w:t>
        </w:r>
        <w:r w:rsidRPr="006A72B1">
          <w:rPr>
            <w:rStyle w:val="Hyperlink"/>
            <w:sz w:val="24"/>
            <w:szCs w:val="24"/>
          </w:rPr>
          <w:t>C63</w:t>
        </w:r>
      </w:hyperlink>
      <w:r w:rsidR="00391757" w:rsidRPr="00391757">
        <w:rPr>
          <w:sz w:val="24"/>
          <w:szCs w:val="24"/>
          <w:vertAlign w:val="superscript"/>
        </w:rPr>
        <w:t>®</w:t>
      </w:r>
      <w:r>
        <w:rPr>
          <w:sz w:val="24"/>
          <w:szCs w:val="24"/>
        </w:rPr>
        <w:t xml:space="preserve"> via e</w:t>
      </w:r>
      <w:r w:rsidR="00391757">
        <w:rPr>
          <w:sz w:val="24"/>
          <w:szCs w:val="24"/>
        </w:rPr>
        <w:t>-</w:t>
      </w:r>
      <w:r>
        <w:rPr>
          <w:sz w:val="24"/>
          <w:szCs w:val="24"/>
        </w:rPr>
        <w:t>mail.</w:t>
      </w:r>
      <w:r w:rsidR="00391757">
        <w:rPr>
          <w:sz w:val="24"/>
          <w:szCs w:val="24"/>
        </w:rPr>
        <w:t xml:space="preserve"> </w:t>
      </w:r>
    </w:p>
    <w:p w14:paraId="1044C0F9" w14:textId="77777777" w:rsidR="00704149" w:rsidRPr="0045247A" w:rsidRDefault="00704149">
      <w:pPr>
        <w:rPr>
          <w:sz w:val="22"/>
          <w:szCs w:val="22"/>
        </w:rPr>
      </w:pPr>
    </w:p>
    <w:p w14:paraId="38ABBA6B" w14:textId="77777777" w:rsidR="00704149" w:rsidRPr="0045247A" w:rsidRDefault="00704149">
      <w:pPr>
        <w:rPr>
          <w:sz w:val="22"/>
          <w:szCs w:val="22"/>
        </w:rPr>
      </w:pPr>
    </w:p>
    <w:p w14:paraId="2F1B69EC" w14:textId="77777777" w:rsidR="00A4628F" w:rsidRPr="0045247A" w:rsidRDefault="00A4628F">
      <w:pPr>
        <w:rPr>
          <w:sz w:val="22"/>
          <w:szCs w:val="22"/>
        </w:rPr>
      </w:pPr>
    </w:p>
    <w:tbl>
      <w:tblPr>
        <w:tblW w:w="0" w:type="auto"/>
        <w:tblInd w:w="6408" w:type="dxa"/>
        <w:tblLayout w:type="fixed"/>
        <w:tblLook w:val="0000" w:firstRow="0" w:lastRow="0" w:firstColumn="0" w:lastColumn="0" w:noHBand="0" w:noVBand="0"/>
      </w:tblPr>
      <w:tblGrid>
        <w:gridCol w:w="2160"/>
        <w:gridCol w:w="5310"/>
      </w:tblGrid>
      <w:tr w:rsidR="00A2757F" w:rsidRPr="00391757" w14:paraId="13F995F6" w14:textId="77777777">
        <w:trPr>
          <w:cantSplit/>
          <w:tblHeader/>
        </w:trPr>
        <w:tc>
          <w:tcPr>
            <w:tcW w:w="2160" w:type="dxa"/>
            <w:tcBorders>
              <w:top w:val="single" w:sz="6" w:space="0" w:color="000000"/>
              <w:left w:val="single" w:sz="6" w:space="0" w:color="000000"/>
              <w:right w:val="single" w:sz="6" w:space="0" w:color="000000"/>
            </w:tcBorders>
            <w:shd w:val="clear" w:color="auto" w:fill="D9D9D9"/>
            <w:vAlign w:val="center"/>
          </w:tcPr>
          <w:p w14:paraId="49BB4E69" w14:textId="77777777" w:rsidR="00A2757F" w:rsidRPr="00391757" w:rsidRDefault="00704149" w:rsidP="00704149">
            <w:pPr>
              <w:keepLines/>
              <w:jc w:val="center"/>
              <w:rPr>
                <w:b/>
                <w:sz w:val="24"/>
                <w:szCs w:val="24"/>
              </w:rPr>
            </w:pPr>
            <w:r w:rsidRPr="00391757">
              <w:rPr>
                <w:b/>
                <w:sz w:val="24"/>
                <w:szCs w:val="24"/>
              </w:rPr>
              <w:t xml:space="preserve">Submission </w:t>
            </w:r>
            <w:r w:rsidR="00A2757F" w:rsidRPr="00391757">
              <w:rPr>
                <w:b/>
                <w:sz w:val="24"/>
                <w:szCs w:val="24"/>
              </w:rPr>
              <w:t>Date</w:t>
            </w:r>
          </w:p>
        </w:tc>
        <w:tc>
          <w:tcPr>
            <w:tcW w:w="5310" w:type="dxa"/>
            <w:tcBorders>
              <w:top w:val="single" w:sz="6" w:space="0" w:color="000000"/>
              <w:left w:val="single" w:sz="6" w:space="0" w:color="000000"/>
              <w:right w:val="single" w:sz="6" w:space="0" w:color="000000"/>
            </w:tcBorders>
            <w:shd w:val="clear" w:color="auto" w:fill="D9D9D9"/>
            <w:vAlign w:val="center"/>
          </w:tcPr>
          <w:p w14:paraId="31BBFD85" w14:textId="77777777" w:rsidR="00A2757F" w:rsidRPr="00391757" w:rsidRDefault="00445571" w:rsidP="00445571">
            <w:pPr>
              <w:keepLines/>
              <w:jc w:val="center"/>
              <w:rPr>
                <w:b/>
                <w:sz w:val="24"/>
                <w:szCs w:val="24"/>
              </w:rPr>
            </w:pPr>
            <w:r w:rsidRPr="00391757">
              <w:rPr>
                <w:b/>
                <w:sz w:val="24"/>
                <w:szCs w:val="24"/>
              </w:rPr>
              <w:t>Originator</w:t>
            </w:r>
            <w:r w:rsidR="00704149" w:rsidRPr="00391757">
              <w:rPr>
                <w:b/>
                <w:sz w:val="24"/>
                <w:szCs w:val="24"/>
              </w:rPr>
              <w:t xml:space="preserve"> Name, Company</w:t>
            </w:r>
          </w:p>
        </w:tc>
      </w:tr>
      <w:tr w:rsidR="00A2757F" w:rsidRPr="00391757" w14:paraId="033737C8" w14:textId="77777777">
        <w:trPr>
          <w:cantSplit/>
          <w:trHeight w:val="540"/>
          <w:tblHeader/>
        </w:trPr>
        <w:tc>
          <w:tcPr>
            <w:tcW w:w="2160" w:type="dxa"/>
            <w:tcBorders>
              <w:left w:val="single" w:sz="6" w:space="0" w:color="000000"/>
              <w:bottom w:val="single" w:sz="6" w:space="0" w:color="000000"/>
              <w:right w:val="single" w:sz="6" w:space="0" w:color="000000"/>
            </w:tcBorders>
          </w:tcPr>
          <w:p w14:paraId="68FAAC25" w14:textId="0473A84A" w:rsidR="00A2757F" w:rsidRPr="00391757" w:rsidRDefault="00E53F7F" w:rsidP="00704149">
            <w:pPr>
              <w:keepLines/>
              <w:jc w:val="center"/>
              <w:rPr>
                <w:sz w:val="24"/>
                <w:szCs w:val="24"/>
              </w:rPr>
            </w:pPr>
            <w:r>
              <w:rPr>
                <w:sz w:val="24"/>
                <w:szCs w:val="24"/>
              </w:rPr>
              <w:t>11/06/2024</w:t>
            </w:r>
          </w:p>
        </w:tc>
        <w:tc>
          <w:tcPr>
            <w:tcW w:w="5310" w:type="dxa"/>
            <w:tcBorders>
              <w:left w:val="single" w:sz="6" w:space="0" w:color="000000"/>
              <w:bottom w:val="single" w:sz="6" w:space="0" w:color="000000"/>
              <w:right w:val="single" w:sz="6" w:space="0" w:color="000000"/>
            </w:tcBorders>
          </w:tcPr>
          <w:p w14:paraId="5C99BBFC" w14:textId="77777777" w:rsidR="00A2757F" w:rsidRDefault="00E53F7F" w:rsidP="006A72B1">
            <w:pPr>
              <w:keepLines/>
              <w:rPr>
                <w:sz w:val="24"/>
                <w:szCs w:val="24"/>
              </w:rPr>
            </w:pPr>
            <w:r>
              <w:rPr>
                <w:sz w:val="24"/>
                <w:szCs w:val="24"/>
              </w:rPr>
              <w:t>Mark Briggs, UL Solutions</w:t>
            </w:r>
          </w:p>
          <w:p w14:paraId="73AB06F7" w14:textId="6D1C2751" w:rsidR="00EA4C57" w:rsidRPr="00391757" w:rsidRDefault="00EA4C57" w:rsidP="006A72B1">
            <w:pPr>
              <w:keepLines/>
              <w:rPr>
                <w:sz w:val="24"/>
                <w:szCs w:val="24"/>
              </w:rPr>
            </w:pPr>
            <w:r>
              <w:rPr>
                <w:sz w:val="24"/>
                <w:szCs w:val="24"/>
              </w:rPr>
              <w:t>mark.briggs@ul.com</w:t>
            </w:r>
          </w:p>
        </w:tc>
      </w:tr>
    </w:tbl>
    <w:p w14:paraId="7863A57B" w14:textId="77777777" w:rsidR="00704149" w:rsidRPr="00391757" w:rsidRDefault="00704149">
      <w:pPr>
        <w:rPr>
          <w:sz w:val="24"/>
          <w:szCs w:val="24"/>
        </w:rPr>
      </w:pPr>
    </w:p>
    <w:p w14:paraId="21D057E0" w14:textId="77777777" w:rsidR="00704149" w:rsidRPr="00391757" w:rsidRDefault="00704149">
      <w:pPr>
        <w:rPr>
          <w:sz w:val="24"/>
          <w:szCs w:val="24"/>
        </w:rPr>
      </w:pPr>
    </w:p>
    <w:tbl>
      <w:tblPr>
        <w:tblW w:w="13984" w:type="dxa"/>
        <w:jc w:val="center"/>
        <w:tblLayout w:type="fixed"/>
        <w:tblCellMar>
          <w:left w:w="56" w:type="dxa"/>
          <w:right w:w="56" w:type="dxa"/>
        </w:tblCellMar>
        <w:tblLook w:val="0000" w:firstRow="0" w:lastRow="0" w:firstColumn="0" w:lastColumn="0" w:noHBand="0" w:noVBand="0"/>
      </w:tblPr>
      <w:tblGrid>
        <w:gridCol w:w="1114"/>
        <w:gridCol w:w="1260"/>
        <w:gridCol w:w="1260"/>
        <w:gridCol w:w="990"/>
        <w:gridCol w:w="3895"/>
        <w:gridCol w:w="5465"/>
      </w:tblGrid>
      <w:tr w:rsidR="0045247A" w:rsidRPr="00391757" w14:paraId="64380406" w14:textId="77777777">
        <w:trPr>
          <w:cantSplit/>
          <w:tblHeader/>
          <w:jc w:val="center"/>
        </w:trPr>
        <w:tc>
          <w:tcPr>
            <w:tcW w:w="1114" w:type="dxa"/>
            <w:tcBorders>
              <w:top w:val="single" w:sz="6" w:space="0" w:color="auto"/>
              <w:left w:val="single" w:sz="6" w:space="0" w:color="auto"/>
              <w:bottom w:val="single" w:sz="12" w:space="0" w:color="auto"/>
              <w:right w:val="single" w:sz="6" w:space="0" w:color="auto"/>
            </w:tcBorders>
            <w:shd w:val="clear" w:color="auto" w:fill="D9D9D9"/>
          </w:tcPr>
          <w:p w14:paraId="50C7DE0D" w14:textId="77777777" w:rsidR="00445571" w:rsidRPr="00391757" w:rsidRDefault="00445571" w:rsidP="00445571">
            <w:pPr>
              <w:keepLines/>
              <w:spacing w:line="180" w:lineRule="exact"/>
              <w:jc w:val="center"/>
              <w:rPr>
                <w:sz w:val="24"/>
                <w:szCs w:val="24"/>
              </w:rPr>
            </w:pPr>
            <w:r w:rsidRPr="00391757">
              <w:rPr>
                <w:b/>
                <w:sz w:val="24"/>
                <w:szCs w:val="24"/>
              </w:rPr>
              <w:t>Standard</w:t>
            </w:r>
          </w:p>
        </w:tc>
        <w:tc>
          <w:tcPr>
            <w:tcW w:w="1260" w:type="dxa"/>
            <w:tcBorders>
              <w:top w:val="single" w:sz="6" w:space="0" w:color="auto"/>
              <w:left w:val="single" w:sz="6" w:space="0" w:color="auto"/>
              <w:bottom w:val="single" w:sz="12" w:space="0" w:color="auto"/>
              <w:right w:val="single" w:sz="6" w:space="0" w:color="auto"/>
            </w:tcBorders>
            <w:shd w:val="clear" w:color="auto" w:fill="D9D9D9"/>
          </w:tcPr>
          <w:p w14:paraId="1E9E82F9" w14:textId="77777777" w:rsidR="00445571" w:rsidRPr="00391757" w:rsidRDefault="00445571" w:rsidP="00445571">
            <w:pPr>
              <w:keepLines/>
              <w:spacing w:line="180" w:lineRule="exact"/>
              <w:jc w:val="center"/>
              <w:rPr>
                <w:b/>
                <w:sz w:val="24"/>
                <w:szCs w:val="24"/>
              </w:rPr>
            </w:pPr>
            <w:r w:rsidRPr="00391757">
              <w:rPr>
                <w:b/>
                <w:sz w:val="24"/>
                <w:szCs w:val="24"/>
              </w:rPr>
              <w:t xml:space="preserve">Clause/ </w:t>
            </w:r>
            <w:r w:rsidR="006A72B1" w:rsidRPr="00391757">
              <w:rPr>
                <w:b/>
                <w:sz w:val="24"/>
                <w:szCs w:val="24"/>
              </w:rPr>
              <w:t>Sub clause</w:t>
            </w:r>
          </w:p>
        </w:tc>
        <w:tc>
          <w:tcPr>
            <w:tcW w:w="1260" w:type="dxa"/>
            <w:tcBorders>
              <w:top w:val="single" w:sz="6" w:space="0" w:color="auto"/>
              <w:left w:val="single" w:sz="6" w:space="0" w:color="auto"/>
              <w:bottom w:val="single" w:sz="12" w:space="0" w:color="auto"/>
              <w:right w:val="single" w:sz="6" w:space="0" w:color="auto"/>
            </w:tcBorders>
            <w:shd w:val="clear" w:color="auto" w:fill="D9D9D9"/>
          </w:tcPr>
          <w:p w14:paraId="421353AA" w14:textId="77777777" w:rsidR="00445571" w:rsidRPr="00391757" w:rsidRDefault="00445571" w:rsidP="00445571">
            <w:pPr>
              <w:keepLines/>
              <w:spacing w:line="180" w:lineRule="exact"/>
              <w:jc w:val="center"/>
              <w:rPr>
                <w:b/>
                <w:sz w:val="24"/>
                <w:szCs w:val="24"/>
              </w:rPr>
            </w:pPr>
            <w:r w:rsidRPr="00391757">
              <w:rPr>
                <w:b/>
                <w:sz w:val="24"/>
                <w:szCs w:val="24"/>
              </w:rPr>
              <w:t>Paragraph Figure/ Table</w:t>
            </w:r>
          </w:p>
        </w:tc>
        <w:tc>
          <w:tcPr>
            <w:tcW w:w="990" w:type="dxa"/>
            <w:tcBorders>
              <w:top w:val="single" w:sz="6" w:space="0" w:color="auto"/>
              <w:left w:val="single" w:sz="6" w:space="0" w:color="auto"/>
              <w:bottom w:val="single" w:sz="12" w:space="0" w:color="auto"/>
              <w:right w:val="single" w:sz="6" w:space="0" w:color="auto"/>
            </w:tcBorders>
            <w:shd w:val="clear" w:color="auto" w:fill="D9D9D9"/>
          </w:tcPr>
          <w:p w14:paraId="7A7D65FD" w14:textId="77777777" w:rsidR="00445571" w:rsidRPr="00391757" w:rsidRDefault="00445571" w:rsidP="00445571">
            <w:pPr>
              <w:keepLines/>
              <w:spacing w:line="180" w:lineRule="exact"/>
              <w:jc w:val="center"/>
              <w:rPr>
                <w:b/>
                <w:sz w:val="24"/>
                <w:szCs w:val="24"/>
              </w:rPr>
            </w:pPr>
            <w:r w:rsidRPr="00391757">
              <w:rPr>
                <w:b/>
                <w:sz w:val="24"/>
                <w:szCs w:val="24"/>
              </w:rPr>
              <w:t xml:space="preserve">Type </w:t>
            </w:r>
          </w:p>
          <w:p w14:paraId="37BE94D2" w14:textId="77777777" w:rsidR="00445571" w:rsidRPr="00D037F4" w:rsidRDefault="00445571" w:rsidP="00445571">
            <w:pPr>
              <w:keepLines/>
              <w:spacing w:line="180" w:lineRule="exact"/>
              <w:jc w:val="center"/>
              <w:rPr>
                <w:b/>
              </w:rPr>
            </w:pPr>
            <w:r w:rsidRPr="00D037F4">
              <w:t>(General/ Technical/Editorial)</w:t>
            </w:r>
          </w:p>
        </w:tc>
        <w:tc>
          <w:tcPr>
            <w:tcW w:w="3895" w:type="dxa"/>
            <w:tcBorders>
              <w:top w:val="single" w:sz="6" w:space="0" w:color="auto"/>
              <w:left w:val="single" w:sz="6" w:space="0" w:color="auto"/>
              <w:bottom w:val="single" w:sz="12" w:space="0" w:color="auto"/>
              <w:right w:val="single" w:sz="6" w:space="0" w:color="auto"/>
            </w:tcBorders>
            <w:shd w:val="clear" w:color="auto" w:fill="D9D9D9"/>
          </w:tcPr>
          <w:p w14:paraId="25600426" w14:textId="77777777" w:rsidR="00445571" w:rsidRPr="00391757" w:rsidRDefault="00445571" w:rsidP="00445571">
            <w:pPr>
              <w:keepLines/>
              <w:spacing w:line="180" w:lineRule="exact"/>
              <w:jc w:val="center"/>
              <w:rPr>
                <w:sz w:val="24"/>
                <w:szCs w:val="24"/>
              </w:rPr>
            </w:pPr>
            <w:r w:rsidRPr="00391757">
              <w:rPr>
                <w:b/>
                <w:sz w:val="24"/>
                <w:szCs w:val="24"/>
              </w:rPr>
              <w:t>Comment / Inquiry</w:t>
            </w:r>
          </w:p>
        </w:tc>
        <w:tc>
          <w:tcPr>
            <w:tcW w:w="5465" w:type="dxa"/>
            <w:tcBorders>
              <w:top w:val="single" w:sz="6" w:space="0" w:color="auto"/>
              <w:left w:val="single" w:sz="6" w:space="0" w:color="auto"/>
              <w:bottom w:val="single" w:sz="12" w:space="0" w:color="auto"/>
              <w:right w:val="single" w:sz="6" w:space="0" w:color="auto"/>
            </w:tcBorders>
            <w:shd w:val="clear" w:color="auto" w:fill="D9D9D9"/>
          </w:tcPr>
          <w:p w14:paraId="6F8BE0B2" w14:textId="77777777" w:rsidR="00445571" w:rsidRPr="00391757" w:rsidRDefault="00445571" w:rsidP="00391757">
            <w:pPr>
              <w:keepLines/>
              <w:spacing w:line="180" w:lineRule="exact"/>
              <w:jc w:val="center"/>
              <w:rPr>
                <w:sz w:val="24"/>
                <w:szCs w:val="24"/>
              </w:rPr>
            </w:pPr>
            <w:r w:rsidRPr="00391757">
              <w:rPr>
                <w:b/>
                <w:sz w:val="24"/>
                <w:szCs w:val="24"/>
              </w:rPr>
              <w:t>Subcommittee Response</w:t>
            </w:r>
            <w:r w:rsidR="00391757" w:rsidRPr="00391757">
              <w:rPr>
                <w:b/>
                <w:sz w:val="24"/>
                <w:szCs w:val="24"/>
              </w:rPr>
              <w:br/>
            </w:r>
            <w:r w:rsidR="00391757" w:rsidRPr="006A72B1">
              <w:rPr>
                <w:color w:val="FF0000"/>
              </w:rPr>
              <w:t>(to be filled in by Subcommittee Chair)</w:t>
            </w:r>
          </w:p>
        </w:tc>
      </w:tr>
      <w:tr w:rsidR="00445571" w:rsidRPr="00391757" w14:paraId="73310878" w14:textId="77777777">
        <w:trPr>
          <w:cantSplit/>
          <w:trHeight w:val="3786"/>
          <w:jc w:val="center"/>
        </w:trPr>
        <w:tc>
          <w:tcPr>
            <w:tcW w:w="1114" w:type="dxa"/>
            <w:tcBorders>
              <w:top w:val="single" w:sz="12" w:space="0" w:color="auto"/>
              <w:left w:val="single" w:sz="6" w:space="0" w:color="auto"/>
              <w:bottom w:val="single" w:sz="6" w:space="0" w:color="auto"/>
              <w:right w:val="single" w:sz="6" w:space="0" w:color="auto"/>
            </w:tcBorders>
          </w:tcPr>
          <w:p w14:paraId="53FF41A8" w14:textId="09FD8B11" w:rsidR="00704149" w:rsidRPr="006A72B1" w:rsidRDefault="00E53F7F" w:rsidP="00445571">
            <w:pPr>
              <w:keepLines/>
            </w:pPr>
            <w:r>
              <w:t>ANSI C63.26-2015</w:t>
            </w:r>
          </w:p>
        </w:tc>
        <w:tc>
          <w:tcPr>
            <w:tcW w:w="1260" w:type="dxa"/>
            <w:tcBorders>
              <w:top w:val="single" w:sz="12" w:space="0" w:color="auto"/>
              <w:left w:val="single" w:sz="6" w:space="0" w:color="auto"/>
              <w:bottom w:val="single" w:sz="6" w:space="0" w:color="auto"/>
              <w:right w:val="single" w:sz="6" w:space="0" w:color="auto"/>
            </w:tcBorders>
          </w:tcPr>
          <w:p w14:paraId="02869DF4" w14:textId="32D4D0C5" w:rsidR="00445571" w:rsidRPr="006A72B1" w:rsidRDefault="00E53F7F" w:rsidP="00445571">
            <w:pPr>
              <w:keepLines/>
            </w:pPr>
            <w:r>
              <w:t>Annex I</w:t>
            </w:r>
          </w:p>
        </w:tc>
        <w:tc>
          <w:tcPr>
            <w:tcW w:w="1260" w:type="dxa"/>
            <w:tcBorders>
              <w:top w:val="single" w:sz="12" w:space="0" w:color="auto"/>
              <w:left w:val="single" w:sz="6" w:space="0" w:color="auto"/>
              <w:bottom w:val="single" w:sz="6" w:space="0" w:color="auto"/>
              <w:right w:val="single" w:sz="6" w:space="0" w:color="auto"/>
            </w:tcBorders>
          </w:tcPr>
          <w:p w14:paraId="01665DE8" w14:textId="3DD11012" w:rsidR="00445571" w:rsidRPr="006A72B1" w:rsidRDefault="00E53F7F" w:rsidP="00445571">
            <w:pPr>
              <w:keepLines/>
            </w:pPr>
            <w:r>
              <w:t>Figure I.1</w:t>
            </w:r>
          </w:p>
        </w:tc>
        <w:tc>
          <w:tcPr>
            <w:tcW w:w="990" w:type="dxa"/>
            <w:tcBorders>
              <w:top w:val="single" w:sz="12" w:space="0" w:color="auto"/>
              <w:left w:val="single" w:sz="6" w:space="0" w:color="auto"/>
              <w:bottom w:val="single" w:sz="6" w:space="0" w:color="auto"/>
              <w:right w:val="single" w:sz="6" w:space="0" w:color="auto"/>
            </w:tcBorders>
          </w:tcPr>
          <w:p w14:paraId="23FF5759" w14:textId="77777777" w:rsidR="00445571" w:rsidRDefault="00E53F7F" w:rsidP="00445571">
            <w:pPr>
              <w:keepLines/>
            </w:pPr>
            <w:r>
              <w:t>Technical</w:t>
            </w:r>
          </w:p>
          <w:p w14:paraId="4F2D2C9A" w14:textId="47E642A1" w:rsidR="00E53F7F" w:rsidRPr="006A72B1" w:rsidRDefault="00E53F7F" w:rsidP="00445571">
            <w:pPr>
              <w:keepLines/>
            </w:pPr>
            <w:r>
              <w:t>Editorial</w:t>
            </w:r>
          </w:p>
        </w:tc>
        <w:tc>
          <w:tcPr>
            <w:tcW w:w="3895" w:type="dxa"/>
            <w:tcBorders>
              <w:top w:val="single" w:sz="12" w:space="0" w:color="auto"/>
              <w:left w:val="single" w:sz="6" w:space="0" w:color="auto"/>
              <w:bottom w:val="single" w:sz="6" w:space="0" w:color="auto"/>
              <w:right w:val="single" w:sz="6" w:space="0" w:color="auto"/>
            </w:tcBorders>
          </w:tcPr>
          <w:p w14:paraId="5FB8A607" w14:textId="25C515D4" w:rsidR="00445571" w:rsidRDefault="00E53F7F" w:rsidP="00445571">
            <w:pPr>
              <w:keepLines/>
            </w:pPr>
            <w:r>
              <w:t xml:space="preserve">The figure can be interpreted to suggest that the mask measurements can include offsets of </w:t>
            </w:r>
            <w:proofErr w:type="gramStart"/>
            <w:r w:rsidRPr="00E53F7F">
              <w:rPr>
                <w:b/>
                <w:bCs/>
              </w:rPr>
              <w:t>required measurement</w:t>
            </w:r>
            <w:proofErr w:type="gramEnd"/>
            <w:r w:rsidRPr="00E53F7F">
              <w:rPr>
                <w:b/>
                <w:bCs/>
              </w:rPr>
              <w:t xml:space="preserve"> bandwidth /2</w:t>
            </w:r>
            <w:r>
              <w:t xml:space="preserve"> at the mask transition points 5.5 MHz from the channel edge which does not match the verbiage in 5.7.2(g) which only allows for the offset to be used at the very block / channel / band edge.</w:t>
            </w:r>
          </w:p>
          <w:p w14:paraId="5372A9AB" w14:textId="77777777" w:rsidR="00E53F7F" w:rsidRDefault="00E53F7F" w:rsidP="00445571">
            <w:pPr>
              <w:keepLines/>
            </w:pPr>
          </w:p>
          <w:p w14:paraId="1314FDF0" w14:textId="4B265084" w:rsidR="00E53F7F" w:rsidRPr="006A72B1" w:rsidRDefault="00E53F7F" w:rsidP="00445571">
            <w:pPr>
              <w:keepLines/>
            </w:pPr>
            <w:r>
              <w:t>The drawing and annex are informative but causing misunderstandings</w:t>
            </w:r>
          </w:p>
        </w:tc>
        <w:tc>
          <w:tcPr>
            <w:tcW w:w="5465" w:type="dxa"/>
            <w:tcBorders>
              <w:top w:val="single" w:sz="12" w:space="0" w:color="auto"/>
              <w:left w:val="single" w:sz="6" w:space="0" w:color="auto"/>
              <w:bottom w:val="single" w:sz="6" w:space="0" w:color="auto"/>
              <w:right w:val="single" w:sz="6" w:space="0" w:color="auto"/>
            </w:tcBorders>
          </w:tcPr>
          <w:p w14:paraId="31C885DD" w14:textId="77777777" w:rsidR="00445571" w:rsidRDefault="00EA13AB" w:rsidP="00445571">
            <w:pPr>
              <w:keepLines/>
            </w:pPr>
            <w:r>
              <w:t>Thank you for raising this issue.</w:t>
            </w:r>
          </w:p>
          <w:p w14:paraId="2CE76130" w14:textId="77777777" w:rsidR="008328DA" w:rsidRDefault="008328DA" w:rsidP="00445571">
            <w:pPr>
              <w:keepLines/>
            </w:pPr>
          </w:p>
          <w:p w14:paraId="07D4BD28" w14:textId="77777777" w:rsidR="008328DA" w:rsidRPr="008328DA" w:rsidRDefault="008328DA" w:rsidP="008328DA">
            <w:pPr>
              <w:keepLines/>
            </w:pPr>
            <w:r w:rsidRPr="008328DA">
              <w:t xml:space="preserve">Subclause 1.1 of the standard clearly indicates that “In this standard, the text takes precedence over the figures because the text is </w:t>
            </w:r>
            <w:proofErr w:type="gramStart"/>
            <w:r w:rsidRPr="008328DA">
              <w:t>complete</w:t>
            </w:r>
            <w:proofErr w:type="gramEnd"/>
            <w:r w:rsidRPr="008328DA">
              <w:t xml:space="preserve"> and the figures are illustrative of a typical application of the text.”  Therefore, the text in 5.7.2(g) takes precedence over the figure.</w:t>
            </w:r>
          </w:p>
          <w:p w14:paraId="07695AF0" w14:textId="77777777" w:rsidR="008328DA" w:rsidRPr="008328DA" w:rsidRDefault="008328DA" w:rsidP="008328DA">
            <w:pPr>
              <w:keepLines/>
            </w:pPr>
          </w:p>
          <w:p w14:paraId="275E996F" w14:textId="5AB39BE4" w:rsidR="00EA13AB" w:rsidRPr="006A72B1" w:rsidRDefault="00EA13AB" w:rsidP="00445571">
            <w:pPr>
              <w:keepLines/>
            </w:pPr>
            <w:r>
              <w:t>The Figure I.1 contained in Annex I of C63.26-2015 will be corrected to reflect the normative text in Section 5.7.2 (g) in the next revision of the document.</w:t>
            </w:r>
          </w:p>
        </w:tc>
      </w:tr>
    </w:tbl>
    <w:p w14:paraId="3B1ED8EF" w14:textId="77777777" w:rsidR="00AC65C0" w:rsidRPr="00A4628F" w:rsidRDefault="00AC65C0" w:rsidP="00AC65C0">
      <w:pPr>
        <w:spacing w:line="240" w:lineRule="exact"/>
      </w:pPr>
    </w:p>
    <w:sectPr w:rsidR="00AC65C0" w:rsidRPr="00A4628F" w:rsidSect="00391757">
      <w:footerReference w:type="default" r:id="rId9"/>
      <w:pgSz w:w="15840" w:h="12240" w:orient="landscape" w:code="1"/>
      <w:pgMar w:top="1260" w:right="1170" w:bottom="1800" w:left="324" w:header="720" w:footer="720" w:gutter="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1B6C" w14:textId="77777777" w:rsidR="00195FEA" w:rsidRDefault="00195FEA" w:rsidP="00393545">
      <w:r>
        <w:separator/>
      </w:r>
    </w:p>
  </w:endnote>
  <w:endnote w:type="continuationSeparator" w:id="0">
    <w:p w14:paraId="17F53321" w14:textId="77777777" w:rsidR="00195FEA" w:rsidRDefault="00195FEA" w:rsidP="0039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3595" w14:textId="77777777" w:rsidR="00704149" w:rsidRDefault="00704149" w:rsidP="00704149">
    <w:pPr>
      <w:pStyle w:val="Footer"/>
      <w:tabs>
        <w:tab w:val="clear" w:pos="4252"/>
        <w:tab w:val="clear" w:pos="8504"/>
        <w:tab w:val="center" w:pos="6944"/>
        <w:tab w:val="right" w:pos="13889"/>
      </w:tabs>
    </w:pPr>
    <w:r>
      <w:t>ANSI</w:t>
    </w:r>
    <w:r w:rsidR="00391757">
      <w:t>-ASC-C</w:t>
    </w:r>
    <w:r>
      <w:t>63</w:t>
    </w:r>
    <w:r w:rsidR="00391757" w:rsidRPr="00391757">
      <w:rPr>
        <w:vertAlign w:val="superscript"/>
      </w:rPr>
      <w:t>®</w:t>
    </w:r>
    <w:r>
      <w:t xml:space="preserve"> Interpretation </w:t>
    </w:r>
    <w:r w:rsidR="00391757">
      <w:t xml:space="preserve">Request </w:t>
    </w:r>
    <w:r w:rsidR="00D037F4">
      <w:t xml:space="preserve">submission </w:t>
    </w:r>
    <w:r w:rsidR="00391757">
      <w:t>form</w:t>
    </w:r>
    <w:r>
      <w:tab/>
      <w:t xml:space="preserve">Page </w:t>
    </w:r>
    <w:r>
      <w:rPr>
        <w:b/>
      </w:rPr>
      <w:fldChar w:fldCharType="begin"/>
    </w:r>
    <w:r>
      <w:rPr>
        <w:b/>
      </w:rPr>
      <w:instrText xml:space="preserve"> PAGE  \* Arabic  \* MERGEFORMAT </w:instrText>
    </w:r>
    <w:r>
      <w:rPr>
        <w:b/>
      </w:rPr>
      <w:fldChar w:fldCharType="separate"/>
    </w:r>
    <w:r w:rsidR="006A72B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A72B1">
      <w:rPr>
        <w:b/>
        <w:noProof/>
      </w:rPr>
      <w:t>1</w:t>
    </w:r>
    <w:r>
      <w:rPr>
        <w:b/>
      </w:rPr>
      <w:fldChar w:fldCharType="end"/>
    </w:r>
    <w:r>
      <w:tab/>
      <w:t>Form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93A1" w14:textId="77777777" w:rsidR="00195FEA" w:rsidRDefault="00195FEA" w:rsidP="00393545">
      <w:r>
        <w:separator/>
      </w:r>
    </w:p>
  </w:footnote>
  <w:footnote w:type="continuationSeparator" w:id="0">
    <w:p w14:paraId="562F40B7" w14:textId="77777777" w:rsidR="00195FEA" w:rsidRDefault="00195FEA" w:rsidP="00393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4F"/>
    <w:rsid w:val="000A293E"/>
    <w:rsid w:val="00161BBA"/>
    <w:rsid w:val="001830B9"/>
    <w:rsid w:val="00195FEA"/>
    <w:rsid w:val="001A239C"/>
    <w:rsid w:val="001E5922"/>
    <w:rsid w:val="00217A40"/>
    <w:rsid w:val="00275A19"/>
    <w:rsid w:val="00276DB0"/>
    <w:rsid w:val="002E747D"/>
    <w:rsid w:val="00342689"/>
    <w:rsid w:val="0036113A"/>
    <w:rsid w:val="00391757"/>
    <w:rsid w:val="00393545"/>
    <w:rsid w:val="003D49A6"/>
    <w:rsid w:val="003F104F"/>
    <w:rsid w:val="00404A4E"/>
    <w:rsid w:val="00445571"/>
    <w:rsid w:val="0045247A"/>
    <w:rsid w:val="00463898"/>
    <w:rsid w:val="00533611"/>
    <w:rsid w:val="005704AF"/>
    <w:rsid w:val="005A5284"/>
    <w:rsid w:val="005E4F92"/>
    <w:rsid w:val="00601ACE"/>
    <w:rsid w:val="006110EB"/>
    <w:rsid w:val="006A72B1"/>
    <w:rsid w:val="00704149"/>
    <w:rsid w:val="00736B9D"/>
    <w:rsid w:val="00754863"/>
    <w:rsid w:val="007A611B"/>
    <w:rsid w:val="007B49FF"/>
    <w:rsid w:val="007E0BB1"/>
    <w:rsid w:val="008328DA"/>
    <w:rsid w:val="008A6E77"/>
    <w:rsid w:val="008C7FB9"/>
    <w:rsid w:val="008F2EB6"/>
    <w:rsid w:val="00900F77"/>
    <w:rsid w:val="009A5422"/>
    <w:rsid w:val="009F182F"/>
    <w:rsid w:val="009F2C5A"/>
    <w:rsid w:val="00A2757F"/>
    <w:rsid w:val="00A4628F"/>
    <w:rsid w:val="00A7544F"/>
    <w:rsid w:val="00AC65C0"/>
    <w:rsid w:val="00AF0F27"/>
    <w:rsid w:val="00B87E5E"/>
    <w:rsid w:val="00BD6277"/>
    <w:rsid w:val="00BD7234"/>
    <w:rsid w:val="00C360D7"/>
    <w:rsid w:val="00C51900"/>
    <w:rsid w:val="00CB5F7A"/>
    <w:rsid w:val="00CC39C2"/>
    <w:rsid w:val="00D037F4"/>
    <w:rsid w:val="00D17809"/>
    <w:rsid w:val="00D22420"/>
    <w:rsid w:val="00D85F85"/>
    <w:rsid w:val="00D90373"/>
    <w:rsid w:val="00DB3EE6"/>
    <w:rsid w:val="00E47A18"/>
    <w:rsid w:val="00E53F7F"/>
    <w:rsid w:val="00E74F48"/>
    <w:rsid w:val="00EA13AB"/>
    <w:rsid w:val="00EA4C57"/>
    <w:rsid w:val="00EA4F23"/>
    <w:rsid w:val="00EA54DE"/>
    <w:rsid w:val="00F72E52"/>
    <w:rsid w:val="00F80B86"/>
    <w:rsid w:val="00F82162"/>
    <w:rsid w:val="00FA1D78"/>
    <w:rsid w:val="00FA5962"/>
    <w:rsid w:val="00FD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5C604"/>
  <w15:chartTrackingRefBased/>
  <w15:docId w15:val="{F1E815E1-04C1-4D2B-B521-4F09142D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3545"/>
    <w:pPr>
      <w:tabs>
        <w:tab w:val="center" w:pos="4252"/>
        <w:tab w:val="right" w:pos="8504"/>
      </w:tabs>
      <w:snapToGrid w:val="0"/>
    </w:pPr>
  </w:style>
  <w:style w:type="character" w:customStyle="1" w:styleId="HeaderChar">
    <w:name w:val="Header Char"/>
    <w:basedOn w:val="DefaultParagraphFont"/>
    <w:link w:val="Header"/>
    <w:rsid w:val="00393545"/>
  </w:style>
  <w:style w:type="paragraph" w:styleId="Footer">
    <w:name w:val="footer"/>
    <w:basedOn w:val="Normal"/>
    <w:link w:val="FooterChar"/>
    <w:rsid w:val="00393545"/>
    <w:pPr>
      <w:tabs>
        <w:tab w:val="center" w:pos="4252"/>
        <w:tab w:val="right" w:pos="8504"/>
      </w:tabs>
      <w:snapToGrid w:val="0"/>
    </w:pPr>
  </w:style>
  <w:style w:type="character" w:customStyle="1" w:styleId="FooterChar">
    <w:name w:val="Footer Char"/>
    <w:basedOn w:val="DefaultParagraphFont"/>
    <w:link w:val="Footer"/>
    <w:rsid w:val="00393545"/>
  </w:style>
  <w:style w:type="character" w:styleId="CommentReference">
    <w:name w:val="annotation reference"/>
    <w:rsid w:val="00445571"/>
    <w:rPr>
      <w:sz w:val="16"/>
      <w:szCs w:val="16"/>
    </w:rPr>
  </w:style>
  <w:style w:type="paragraph" w:styleId="CommentText">
    <w:name w:val="annotation text"/>
    <w:basedOn w:val="Normal"/>
    <w:link w:val="CommentTextChar"/>
    <w:rsid w:val="00445571"/>
  </w:style>
  <w:style w:type="character" w:customStyle="1" w:styleId="CommentTextChar">
    <w:name w:val="Comment Text Char"/>
    <w:link w:val="CommentText"/>
    <w:rsid w:val="00445571"/>
    <w:rPr>
      <w:lang w:eastAsia="ja-JP"/>
    </w:rPr>
  </w:style>
  <w:style w:type="paragraph" w:styleId="CommentSubject">
    <w:name w:val="annotation subject"/>
    <w:basedOn w:val="CommentText"/>
    <w:next w:val="CommentText"/>
    <w:link w:val="CommentSubjectChar"/>
    <w:rsid w:val="00445571"/>
    <w:rPr>
      <w:b/>
      <w:bCs/>
    </w:rPr>
  </w:style>
  <w:style w:type="character" w:customStyle="1" w:styleId="CommentSubjectChar">
    <w:name w:val="Comment Subject Char"/>
    <w:link w:val="CommentSubject"/>
    <w:rsid w:val="00445571"/>
    <w:rPr>
      <w:b/>
      <w:bCs/>
      <w:lang w:eastAsia="ja-JP"/>
    </w:rPr>
  </w:style>
  <w:style w:type="paragraph" w:styleId="BalloonText">
    <w:name w:val="Balloon Text"/>
    <w:basedOn w:val="Normal"/>
    <w:link w:val="BalloonTextChar"/>
    <w:rsid w:val="00445571"/>
    <w:rPr>
      <w:rFonts w:ascii="Tahoma" w:hAnsi="Tahoma" w:cs="Tahoma"/>
      <w:sz w:val="16"/>
      <w:szCs w:val="16"/>
    </w:rPr>
  </w:style>
  <w:style w:type="character" w:customStyle="1" w:styleId="BalloonTextChar">
    <w:name w:val="Balloon Text Char"/>
    <w:link w:val="BalloonText"/>
    <w:rsid w:val="00445571"/>
    <w:rPr>
      <w:rFonts w:ascii="Tahoma" w:hAnsi="Tahoma" w:cs="Tahoma"/>
      <w:sz w:val="16"/>
      <w:szCs w:val="16"/>
      <w:lang w:eastAsia="ja-JP"/>
    </w:rPr>
  </w:style>
  <w:style w:type="character" w:styleId="Hyperlink">
    <w:name w:val="Hyperlink"/>
    <w:rsid w:val="00391757"/>
    <w:rPr>
      <w:color w:val="0000FF"/>
      <w:u w:val="single"/>
    </w:rPr>
  </w:style>
  <w:style w:type="character" w:styleId="FollowedHyperlink">
    <w:name w:val="FollowedHyperlink"/>
    <w:rsid w:val="00D037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05395">
      <w:bodyDiv w:val="1"/>
      <w:marLeft w:val="0"/>
      <w:marRight w:val="0"/>
      <w:marTop w:val="0"/>
      <w:marBottom w:val="0"/>
      <w:divBdr>
        <w:top w:val="none" w:sz="0" w:space="0" w:color="auto"/>
        <w:left w:val="none" w:sz="0" w:space="0" w:color="auto"/>
        <w:bottom w:val="none" w:sz="0" w:space="0" w:color="auto"/>
        <w:right w:val="none" w:sz="0" w:space="0" w:color="auto"/>
      </w:divBdr>
    </w:div>
    <w:div w:id="8107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amie@arctechnical.com" TargetMode="External"/><Relationship Id="rId3" Type="http://schemas.openxmlformats.org/officeDocument/2006/relationships/webSettings" Target="webSettings.xml"/><Relationship Id="rId7" Type="http://schemas.openxmlformats.org/officeDocument/2006/relationships/image" Target="http://www.c63.org/images/c63_logo_10_03_07.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C63 working methods p[laceholder</vt:lpstr>
    </vt:vector>
  </TitlesOfParts>
  <Company>Microsoft</Company>
  <LinksUpToDate>false</LinksUpToDate>
  <CharactersWithSpaces>1660</CharactersWithSpaces>
  <SharedDoc>false</SharedDoc>
  <HLinks>
    <vt:vector size="12" baseType="variant">
      <vt:variant>
        <vt:i4>4849782</vt:i4>
      </vt:variant>
      <vt:variant>
        <vt:i4>0</vt:i4>
      </vt:variant>
      <vt:variant>
        <vt:i4>0</vt:i4>
      </vt:variant>
      <vt:variant>
        <vt:i4>5</vt:i4>
      </vt:variant>
      <vt:variant>
        <vt:lpwstr>mailto:jramie@arctechnical.com</vt:lpwstr>
      </vt:variant>
      <vt:variant>
        <vt:lpwstr/>
      </vt:variant>
      <vt:variant>
        <vt:i4>7012458</vt:i4>
      </vt:variant>
      <vt:variant>
        <vt:i4>-1</vt:i4>
      </vt:variant>
      <vt:variant>
        <vt:i4>1026</vt:i4>
      </vt:variant>
      <vt:variant>
        <vt:i4>1</vt:i4>
      </vt:variant>
      <vt:variant>
        <vt:lpwstr>http://www.c63.org/images/c63_logo_10_03_07.jpg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C63 working methods p[laceholder</dc:title>
  <dc:subject/>
  <dc:creator>H R Hofmann</dc:creator>
  <cp:keywords/>
  <cp:lastModifiedBy>Nicholas Abbondante  Intertek</cp:lastModifiedBy>
  <cp:revision>3</cp:revision>
  <dcterms:created xsi:type="dcterms:W3CDTF">2024-11-20T18:41:00Z</dcterms:created>
  <dcterms:modified xsi:type="dcterms:W3CDTF">2024-11-20T19:33:00Z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